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 Checklist for Designing Effective Fully Remote or Hybrid Courses</w:t>
      </w:r>
    </w:p>
    <w:tbl>
      <w:tblPr>
        <w:tblStyle w:val="Table1"/>
        <w:tblW w:w="10695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4845"/>
        <w:gridCol w:w="360"/>
        <w:gridCol w:w="360"/>
        <w:gridCol w:w="3360"/>
        <w:tblGridChange w:id="0">
          <w:tblGrid>
            <w:gridCol w:w="1770"/>
            <w:gridCol w:w="4845"/>
            <w:gridCol w:w="360"/>
            <w:gridCol w:w="360"/>
            <w:gridCol w:w="3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✔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4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trHeight w:val="420" w:hRule="atLeast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objectives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(See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“Articulate your learning objectives”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hd w:fill="ace90a" w:val="clear"/>
              </w:rPr>
            </w:pPr>
            <w:r w:rsidDel="00000000" w:rsidR="00000000" w:rsidRPr="00000000">
              <w:rPr>
                <w:rtl w:val="0"/>
              </w:rPr>
              <w:t xml:space="preserve">The essential learning objectives can be achieved in a remote or hybrid learning context (e.g., considering physical equipment, skills, and interactions that may be required).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objectives are measurable, i.e., they describe what students should be able to do/demonstrate. Assessments can be designed to gauge students’ degree of mastery of the learning objectives.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objectives are communicated explicitly and in appropriate language for students (remember your students don’t have your expert knowledge).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Summative Assessments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(See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“Formative vs. Summative”</w:t>
              </w:r>
            </w:hyperlink>
            <w:r w:rsidDel="00000000" w:rsidR="00000000" w:rsidRPr="00000000">
              <w:rPr>
                <w:rtl w:val="0"/>
              </w:rPr>
              <w:t xml:space="preserve"> and </w:t>
              <w:br w:type="textWrapping"/>
              <w:t xml:space="preserve">“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What do well-aligned assessments look like?</w:t>
              </w:r>
            </w:hyperlink>
            <w:r w:rsidDel="00000000" w:rsidR="00000000" w:rsidRPr="00000000">
              <w:rPr>
                <w:rtl w:val="0"/>
              </w:rPr>
              <w:t xml:space="preserve">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Summative assessments reveal whether students have achieved the learning objectives and, where possible, involve real- world tasks that involve</w:t>
            </w:r>
            <w:r w:rsidDel="00000000" w:rsidR="00000000" w:rsidRPr="00000000">
              <w:rPr>
                <w:rtl w:val="0"/>
              </w:rPr>
              <w:t xml:space="preserve"> transfer</w:t>
            </w:r>
            <w:r w:rsidDel="00000000" w:rsidR="00000000" w:rsidRPr="00000000">
              <w:rPr>
                <w:rtl w:val="0"/>
              </w:rPr>
              <w:t xml:space="preserve"> of learning.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9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receive sufficient practice and feedback to perform the assessment task.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grading scheme</w:t>
            </w:r>
            <w:r w:rsidDel="00000000" w:rsidR="00000000" w:rsidRPr="00000000">
              <w:rPr>
                <w:rtl w:val="0"/>
              </w:rPr>
              <w:t xml:space="preserve"> is communicated to students up front (e.g., sharing rubrics for projects and essays) and is appropriate for the assessment (e.g., grading rigor, # of points)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Summative assessments are designed so they can be completed/administered online in a way that considers academic integrity and students in different time zones.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Formative Assessments (assignments for practice &amp; feedback)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(See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“Formative vs. Summative”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hd w:fill="ace90a" w:val="clear"/>
              </w:rPr>
            </w:pPr>
            <w:r w:rsidDel="00000000" w:rsidR="00000000" w:rsidRPr="00000000">
              <w:rPr>
                <w:rtl w:val="0"/>
              </w:rPr>
              <w:t xml:space="preserve">Low stakes formative assessments are spaced throughout the instruction, providing multiple opportunities for students to practice and get feedback throughout the course.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hd w:fill="ace90a" w:val="clear"/>
              </w:rPr>
            </w:pPr>
            <w:r w:rsidDel="00000000" w:rsidR="00000000" w:rsidRPr="00000000">
              <w:rPr>
                <w:rtl w:val="0"/>
              </w:rPr>
              <w:t xml:space="preserve">I have considered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different assignment types</w:t>
              </w:r>
            </w:hyperlink>
            <w:r w:rsidDel="00000000" w:rsidR="00000000" w:rsidRPr="00000000">
              <w:rPr>
                <w:rtl w:val="0"/>
              </w:rPr>
              <w:t xml:space="preserve"> (e.g.,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concept maps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write a few sentences on the main point of lecture</w:t>
              </w:r>
            </w:hyperlink>
            <w:r w:rsidDel="00000000" w:rsidR="00000000" w:rsidRPr="00000000">
              <w:rPr>
                <w:rtl w:val="0"/>
              </w:rPr>
              <w:t xml:space="preserve">). Selected types are feasible for remote and hybrid instruction, ideally involve real-world tasks, and will reveal students’ progress (to me and to them).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incorporated grading/feedback strategies (e.g., peer review, automated feedback, class-level feedback on common issues) that decrease load on the instructional team.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hd w:fill="ace90a" w:val="clear"/>
              </w:rPr>
            </w:pPr>
            <w:r w:rsidDel="00000000" w:rsidR="00000000" w:rsidRPr="00000000">
              <w:rPr>
                <w:rtl w:val="0"/>
              </w:rPr>
              <w:t xml:space="preserve">Targeted feedback for each assessment task is provided in a timely way so that students can use the feedback on subsequent assignments.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Instructional Activities and Materials </w:t>
            </w:r>
            <w:r w:rsidDel="00000000" w:rsidR="00000000" w:rsidRPr="00000000">
              <w:rPr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Discussions, readings, lectures, videos, games)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NOTE: Consider these 4 checklist items for both synchronous and asynchronous activities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General strategies for designing asynchronous learning</w:t>
              </w:r>
            </w:hyperlink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hd w:fill="ace90a" w:val="clear"/>
              </w:rPr>
            </w:pPr>
            <w:r w:rsidDel="00000000" w:rsidR="00000000" w:rsidRPr="00000000">
              <w:rPr>
                <w:rtl w:val="0"/>
              </w:rPr>
              <w:t xml:space="preserve">Face-to-face/synchronous classroom instruction incorporates active learning (where students work with the material and each other rather than just passively receive information).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hd w:fill="ace90a" w:val="clear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Asynchronous instruction incorporates active learning strategies (e.g., if video is used, it is accompanied by a related learning activity, such as students watching a short video and then responding to a discussion prompt).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regularly provide explicit information to students regarding where they are in the course (e.g., a big picture of the course) and what they need to do next (e.g., a daily agenda).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Complexity is managed through breaking each lesson into manageable parts.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Inclusivity and humanizing the remote learning experience</w:t>
              <w:br w:type="textWrapping"/>
              <w:br w:type="textWrapping"/>
            </w:r>
            <w:r w:rsidDel="00000000" w:rsidR="00000000" w:rsidRPr="00000000">
              <w:rPr>
                <w:i w:val="1"/>
                <w:rtl w:val="0"/>
              </w:rPr>
              <w:t xml:space="preserve">Links to strategies: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40" w:lineRule="auto"/>
              <w:rPr>
                <w:shd w:fill="ffe599" w:val="clear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Inclusive teaching strategies (website)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have strategies for checking in with students – ways they can provide input and express (directly, anonymously) how they are doing.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have established norms for the fully remote or hybrid teaching and learning context that are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inclusive of all students</w:t>
              </w:r>
            </w:hyperlink>
            <w:r w:rsidDel="00000000" w:rsidR="00000000" w:rsidRPr="00000000">
              <w:rPr>
                <w:rtl w:val="0"/>
              </w:rPr>
              <w:t xml:space="preserve"> (e.g., ground rules and expectations for synchronous sessions).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have strategies and policies for being flexible and equitable (e.g., flexible start times on exams, asynchronous activities for students in different time zones).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have made appropriate accommodations for students who have letters of accommodation from the Office of Disability Resources. My online course content is digitally accessible.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Technology toolkit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used the pre-identified toolkit (Canvas, Zoom, Canvas plugins, e.g., Gradescope, Piazza).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Canvas is the portal to my course.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I’ve done a cost-benefit analysis to consider that students may be overwhelmed with using too many tools; and that the tool(s) being used are a good fit to the instructional activities.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Style w:val="Heading2"/>
        <w:keepNext w:val="0"/>
        <w:keepLines w:val="0"/>
        <w:spacing w:before="0" w:lineRule="auto"/>
        <w:rPr>
          <w:sz w:val="24"/>
          <w:szCs w:val="24"/>
          <w:shd w:fill="7ee0f2" w:val="clear"/>
        </w:rPr>
      </w:pPr>
      <w:bookmarkStart w:colFirst="0" w:colLast="0" w:name="_3h3trcxhoai9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trHeight w:val="249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Prioritize 1 to 3 areas to improve/revise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pStyle w:val="Heading3"/>
        <w:spacing w:before="0" w:lineRule="auto"/>
        <w:rPr/>
      </w:pPr>
      <w:bookmarkStart w:colFirst="0" w:colLast="0" w:name="_o1k87im9gjl8" w:id="3"/>
      <w:bookmarkEnd w:id="3"/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Page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of 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| </w:t>
    </w: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www.cmu.edu/teaching/online/</w:t>
      </w:r>
    </w:hyperlink>
    <w:r w:rsidDel="00000000" w:rsidR="00000000" w:rsidRPr="00000000">
      <w:rPr>
        <w:sz w:val="18"/>
        <w:szCs w:val="18"/>
        <w:rtl w:val="0"/>
      </w:rPr>
      <w:t xml:space="preserve"> | eberly-assist@andrew.cmu.edu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Eberly Center for Teaching Excellence &amp; Educational Innovation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Carnegie Mellon University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mu.edu/teaching/assessment/assesslearning/conceptmaps.html" TargetMode="External"/><Relationship Id="rId10" Type="http://schemas.openxmlformats.org/officeDocument/2006/relationships/hyperlink" Target="https://www.cmu.edu/teaching/designteach/design/instructionalstrategies/index.html" TargetMode="External"/><Relationship Id="rId13" Type="http://schemas.openxmlformats.org/officeDocument/2006/relationships/hyperlink" Target="https://docs.google.com/document/d/1Rygtvoks7jJ6D97k-2E5s7_BmsXBD1FZhFZhhnliUpk/edit#heading=h.wjcj58bvesp" TargetMode="External"/><Relationship Id="rId12" Type="http://schemas.openxmlformats.org/officeDocument/2006/relationships/hyperlink" Target="https://www.cmu.edu/teaching/assessment/assesslearning/CATs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mu.edu/teaching/assessment/basics/formative-summative.html" TargetMode="External"/><Relationship Id="rId15" Type="http://schemas.openxmlformats.org/officeDocument/2006/relationships/hyperlink" Target="https://www.cmu.edu/teaching/designteach/teach/classroomclimate/strategies/" TargetMode="External"/><Relationship Id="rId14" Type="http://schemas.openxmlformats.org/officeDocument/2006/relationships/hyperlink" Target="https://www.cmu.edu/teaching/designteach/teach/classroomclimate/strategies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cmu.edu/teaching/designteach/design/learningobjectives.html" TargetMode="External"/><Relationship Id="rId7" Type="http://schemas.openxmlformats.org/officeDocument/2006/relationships/hyperlink" Target="https://www.cmu.edu/teaching/assessment/basics/formative-summative.html" TargetMode="External"/><Relationship Id="rId8" Type="http://schemas.openxmlformats.org/officeDocument/2006/relationships/hyperlink" Target="https://www.cmu.edu/teaching/designteach/design/assessments.htm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mu.edu/teaching/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