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4A0" w:firstRow="1" w:lastRow="0" w:firstColumn="1" w:lastColumn="0" w:noHBand="0" w:noVBand="1"/>
      </w:tblPr>
      <w:tblGrid>
        <w:gridCol w:w="9360"/>
      </w:tblGrid>
      <w:tr w:rsidR="0061516A" w:rsidTr="0061516A">
        <w:trPr>
          <w:jc w:val="center"/>
        </w:trPr>
        <w:tc>
          <w:tcPr>
            <w:tcW w:w="0" w:type="auto"/>
            <w:hideMark/>
          </w:tcPr>
          <w:tbl>
            <w:tblPr>
              <w:tblW w:w="5000" w:type="pct"/>
              <w:jc w:val="center"/>
              <w:shd w:val="clear" w:color="auto" w:fill="FFFFFF"/>
              <w:tblCellMar>
                <w:left w:w="0" w:type="dxa"/>
                <w:right w:w="0" w:type="dxa"/>
              </w:tblCellMar>
              <w:tblLook w:val="04A0" w:firstRow="1" w:lastRow="0" w:firstColumn="1" w:lastColumn="0" w:noHBand="0" w:noVBand="1"/>
            </w:tblPr>
            <w:tblGrid>
              <w:gridCol w:w="9360"/>
            </w:tblGrid>
            <w:tr w:rsidR="0061516A">
              <w:trPr>
                <w:jc w:val="center"/>
              </w:trPr>
              <w:tc>
                <w:tcPr>
                  <w:tcW w:w="0" w:type="auto"/>
                  <w:shd w:val="clear" w:color="auto" w:fill="FFFFFF"/>
                  <w:hideMark/>
                </w:tcPr>
                <w:tbl>
                  <w:tblPr>
                    <w:tblW w:w="9600" w:type="dxa"/>
                    <w:jc w:val="center"/>
                    <w:tblCellMar>
                      <w:left w:w="0" w:type="dxa"/>
                      <w:right w:w="0" w:type="dxa"/>
                    </w:tblCellMar>
                    <w:tblLook w:val="04A0" w:firstRow="1" w:lastRow="0" w:firstColumn="1" w:lastColumn="0" w:noHBand="0" w:noVBand="1"/>
                  </w:tblPr>
                  <w:tblGrid>
                    <w:gridCol w:w="9600"/>
                  </w:tblGrid>
                  <w:tr w:rsidR="0061516A">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00"/>
                        </w:tblGrid>
                        <w:tr w:rsidR="0061516A">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9060"/>
                              </w:tblGrid>
                              <w:tr w:rsidR="0061516A">
                                <w:tc>
                                  <w:tcPr>
                                    <w:tcW w:w="0" w:type="auto"/>
                                    <w:tcBorders>
                                      <w:top w:val="single" w:sz="6" w:space="0" w:color="999999"/>
                                      <w:left w:val="nil"/>
                                      <w:bottom w:val="nil"/>
                                      <w:right w:val="nil"/>
                                    </w:tcBorders>
                                    <w:vAlign w:val="center"/>
                                    <w:hideMark/>
                                  </w:tcPr>
                                  <w:p w:rsidR="0061516A" w:rsidRDefault="0061516A"/>
                                </w:tc>
                              </w:tr>
                            </w:tbl>
                            <w:p w:rsidR="0061516A" w:rsidRDefault="0061516A">
                              <w:pPr>
                                <w:rPr>
                                  <w:rFonts w:eastAsia="Times New Roman"/>
                                  <w:sz w:val="20"/>
                                  <w:szCs w:val="20"/>
                                </w:rPr>
                              </w:pPr>
                            </w:p>
                          </w:tc>
                        </w:tr>
                      </w:tbl>
                      <w:p w:rsidR="0061516A" w:rsidRDefault="0061516A">
                        <w:pPr>
                          <w:rPr>
                            <w:rFonts w:eastAsia="Times New Roman"/>
                            <w:sz w:val="20"/>
                            <w:szCs w:val="20"/>
                          </w:rPr>
                        </w:pPr>
                      </w:p>
                    </w:tc>
                  </w:tr>
                </w:tbl>
                <w:p w:rsidR="0061516A" w:rsidRDefault="0061516A">
                  <w:pPr>
                    <w:jc w:val="center"/>
                    <w:rPr>
                      <w:rFonts w:eastAsia="Times New Roman"/>
                      <w:sz w:val="20"/>
                      <w:szCs w:val="20"/>
                    </w:rPr>
                  </w:pPr>
                </w:p>
              </w:tc>
            </w:tr>
          </w:tbl>
          <w:p w:rsidR="0061516A" w:rsidRDefault="0061516A">
            <w:pPr>
              <w:jc w:val="center"/>
              <w:rPr>
                <w:rFonts w:eastAsia="Times New Roman"/>
                <w:sz w:val="20"/>
                <w:szCs w:val="20"/>
              </w:rPr>
            </w:pPr>
          </w:p>
        </w:tc>
      </w:tr>
      <w:tr w:rsidR="0061516A" w:rsidTr="0061516A">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61516A">
              <w:trPr>
                <w:jc w:val="center"/>
              </w:trPr>
              <w:tc>
                <w:tcPr>
                  <w:tcW w:w="0" w:type="auto"/>
                  <w:shd w:val="clear" w:color="auto" w:fill="FAFAFA"/>
                  <w:hideMark/>
                </w:tcPr>
                <w:tbl>
                  <w:tblPr>
                    <w:tblW w:w="9600" w:type="dxa"/>
                    <w:jc w:val="center"/>
                    <w:tblCellMar>
                      <w:left w:w="0" w:type="dxa"/>
                      <w:right w:w="0" w:type="dxa"/>
                    </w:tblCellMar>
                    <w:tblLook w:val="04A0" w:firstRow="1" w:lastRow="0" w:firstColumn="1" w:lastColumn="0" w:noHBand="0" w:noVBand="1"/>
                  </w:tblPr>
                  <w:tblGrid>
                    <w:gridCol w:w="9360"/>
                  </w:tblGrid>
                  <w:tr w:rsidR="0061516A">
                    <w:trPr>
                      <w:jc w:val="center"/>
                    </w:trPr>
                    <w:tc>
                      <w:tcPr>
                        <w:tcW w:w="0" w:type="auto"/>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360"/>
                        </w:tblGrid>
                        <w:tr w:rsidR="0061516A">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90"/>
                              </w:tblGrid>
                              <w:tr w:rsidR="0061516A">
                                <w:tc>
                                  <w:tcPr>
                                    <w:tcW w:w="0" w:type="auto"/>
                                    <w:tcMar>
                                      <w:top w:w="0" w:type="dxa"/>
                                      <w:left w:w="135" w:type="dxa"/>
                                      <w:bottom w:w="0" w:type="dxa"/>
                                      <w:right w:w="135" w:type="dxa"/>
                                    </w:tcMar>
                                    <w:hideMark/>
                                  </w:tcPr>
                                  <w:p w:rsidR="0061516A" w:rsidRDefault="0061516A">
                                    <w:pPr>
                                      <w:jc w:val="center"/>
                                      <w:rPr>
                                        <w:rFonts w:eastAsia="Times New Roman"/>
                                      </w:rPr>
                                    </w:pPr>
                                    <w:r>
                                      <w:rPr>
                                        <w:rFonts w:eastAsia="Times New Roman"/>
                                        <w:noProof/>
                                      </w:rPr>
                                      <w:drawing>
                                        <wp:inline distT="0" distB="0" distL="0" distR="0">
                                          <wp:extent cx="2628900" cy="1228725"/>
                                          <wp:effectExtent l="0" t="0" r="0" b="0"/>
                                          <wp:docPr id="1" name="Picture 1" descr="https://gallery.mailchimp.com/a7096b189c30f2de8da4e48eb/images/9b7d63df-637c-445f-81e2-ccaa20a34b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allery.mailchimp.com/a7096b189c30f2de8da4e48eb/images/9b7d63df-637c-445f-81e2-ccaa20a34b8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28900" cy="1228725"/>
                                                  </a:xfrm>
                                                  <a:prstGeom prst="rect">
                                                    <a:avLst/>
                                                  </a:prstGeom>
                                                  <a:noFill/>
                                                  <a:ln>
                                                    <a:noFill/>
                                                  </a:ln>
                                                </pic:spPr>
                                              </pic:pic>
                                            </a:graphicData>
                                          </a:graphic>
                                        </wp:inline>
                                      </w:drawing>
                                    </w:r>
                                  </w:p>
                                </w:tc>
                              </w:tr>
                            </w:tbl>
                            <w:p w:rsidR="0061516A" w:rsidRDefault="0061516A">
                              <w:pPr>
                                <w:rPr>
                                  <w:rFonts w:eastAsia="Times New Roman"/>
                                  <w:sz w:val="20"/>
                                  <w:szCs w:val="20"/>
                                </w:rPr>
                              </w:pPr>
                            </w:p>
                          </w:tc>
                        </w:tr>
                      </w:tbl>
                      <w:p w:rsidR="0061516A" w:rsidRDefault="0061516A">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61516A">
                          <w:tc>
                            <w:tcPr>
                              <w:tcW w:w="0" w:type="auto"/>
                              <w:hideMark/>
                            </w:tcPr>
                            <w:tbl>
                              <w:tblPr>
                                <w:tblpPr w:leftFromText="45" w:rightFromText="45" w:vertAnchor="text"/>
                                <w:tblW w:w="9600" w:type="dxa"/>
                                <w:tblCellMar>
                                  <w:left w:w="0" w:type="dxa"/>
                                  <w:right w:w="0" w:type="dxa"/>
                                </w:tblCellMar>
                                <w:tblLook w:val="04A0" w:firstRow="1" w:lastRow="0" w:firstColumn="1" w:lastColumn="0" w:noHBand="0" w:noVBand="1"/>
                              </w:tblPr>
                              <w:tblGrid>
                                <w:gridCol w:w="9600"/>
                              </w:tblGrid>
                              <w:tr w:rsidR="0061516A">
                                <w:tc>
                                  <w:tcPr>
                                    <w:tcW w:w="0" w:type="auto"/>
                                    <w:tcMar>
                                      <w:top w:w="135" w:type="dxa"/>
                                      <w:left w:w="270" w:type="dxa"/>
                                      <w:bottom w:w="135" w:type="dxa"/>
                                      <w:right w:w="270" w:type="dxa"/>
                                    </w:tcMar>
                                    <w:hideMark/>
                                  </w:tcPr>
                                  <w:p w:rsidR="0061516A" w:rsidRDefault="0061516A">
                                    <w:pPr>
                                      <w:pStyle w:val="Heading1"/>
                                      <w:rPr>
                                        <w:rFonts w:eastAsia="Times New Roman"/>
                                      </w:rPr>
                                    </w:pPr>
                                    <w:r>
                                      <w:rPr>
                                        <w:rStyle w:val="Emphasis"/>
                                        <w:rFonts w:ascii="Arial" w:eastAsia="Times New Roman" w:hAnsi="Arial" w:cs="Arial"/>
                                        <w:color w:val="4B0082"/>
                                      </w:rPr>
                                      <w:t>PECA Labs Completes $2.8 Million Series </w:t>
                                    </w:r>
                                    <w:proofErr w:type="gramStart"/>
                                    <w:r>
                                      <w:rPr>
                                        <w:rStyle w:val="Emphasis"/>
                                        <w:rFonts w:ascii="Arial" w:eastAsia="Times New Roman" w:hAnsi="Arial" w:cs="Arial"/>
                                        <w:color w:val="4B0082"/>
                                      </w:rPr>
                                      <w:t>A</w:t>
                                    </w:r>
                                    <w:proofErr w:type="gramEnd"/>
                                    <w:r>
                                      <w:rPr>
                                        <w:rStyle w:val="Emphasis"/>
                                        <w:rFonts w:ascii="Arial" w:eastAsia="Times New Roman" w:hAnsi="Arial" w:cs="Arial"/>
                                        <w:color w:val="4B0082"/>
                                      </w:rPr>
                                      <w:t xml:space="preserve"> Financing Round </w:t>
                                    </w:r>
                                    <w:r>
                                      <w:rPr>
                                        <w:rFonts w:ascii="Arial" w:eastAsia="Times New Roman" w:hAnsi="Arial" w:cs="Arial"/>
                                        <w:color w:val="4B0082"/>
                                      </w:rPr>
                                      <w:t> </w:t>
                                    </w:r>
                                    <w:r>
                                      <w:rPr>
                                        <w:rFonts w:eastAsia="Times New Roman"/>
                                      </w:rPr>
                                      <w:br/>
                                      <w:t> </w:t>
                                    </w:r>
                                  </w:p>
                                </w:tc>
                              </w:tr>
                            </w:tbl>
                            <w:p w:rsidR="0061516A" w:rsidRDefault="0061516A">
                              <w:pPr>
                                <w:rPr>
                                  <w:rFonts w:eastAsia="Times New Roman"/>
                                  <w:sz w:val="20"/>
                                  <w:szCs w:val="20"/>
                                </w:rPr>
                              </w:pPr>
                            </w:p>
                          </w:tc>
                        </w:tr>
                      </w:tbl>
                      <w:p w:rsidR="0061516A" w:rsidRDefault="0061516A">
                        <w:pPr>
                          <w:rPr>
                            <w:rFonts w:eastAsia="Times New Roman"/>
                            <w:vanish/>
                          </w:rPr>
                        </w:pPr>
                      </w:p>
                      <w:tbl>
                        <w:tblPr>
                          <w:tblW w:w="5000" w:type="pct"/>
                          <w:tblCellMar>
                            <w:left w:w="0" w:type="dxa"/>
                            <w:right w:w="0" w:type="dxa"/>
                          </w:tblCellMar>
                          <w:tblLook w:val="04A0" w:firstRow="1" w:lastRow="0" w:firstColumn="1" w:lastColumn="0" w:noHBand="0" w:noVBand="1"/>
                        </w:tblPr>
                        <w:tblGrid>
                          <w:gridCol w:w="9360"/>
                        </w:tblGrid>
                        <w:tr w:rsidR="0061516A">
                          <w:trPr>
                            <w:hidden/>
                          </w:trPr>
                          <w:tc>
                            <w:tcPr>
                              <w:tcW w:w="0" w:type="auto"/>
                              <w:tcMar>
                                <w:top w:w="270" w:type="dxa"/>
                                <w:left w:w="270" w:type="dxa"/>
                                <w:bottom w:w="270" w:type="dxa"/>
                                <w:right w:w="270" w:type="dxa"/>
                              </w:tcMar>
                              <w:vAlign w:val="center"/>
                              <w:hideMark/>
                            </w:tcPr>
                            <w:tbl>
                              <w:tblPr>
                                <w:tblW w:w="5000" w:type="pct"/>
                                <w:tblBorders>
                                  <w:top w:val="single" w:sz="6" w:space="0" w:color="999999"/>
                                </w:tblBorders>
                                <w:tblCellMar>
                                  <w:left w:w="0" w:type="dxa"/>
                                  <w:right w:w="0" w:type="dxa"/>
                                </w:tblCellMar>
                                <w:tblLook w:val="04A0" w:firstRow="1" w:lastRow="0" w:firstColumn="1" w:lastColumn="0" w:noHBand="0" w:noVBand="1"/>
                              </w:tblPr>
                              <w:tblGrid>
                                <w:gridCol w:w="8820"/>
                              </w:tblGrid>
                              <w:tr w:rsidR="0061516A">
                                <w:trPr>
                                  <w:hidden/>
                                </w:trPr>
                                <w:tc>
                                  <w:tcPr>
                                    <w:tcW w:w="0" w:type="auto"/>
                                    <w:tcBorders>
                                      <w:top w:val="single" w:sz="6" w:space="0" w:color="999999"/>
                                      <w:left w:val="nil"/>
                                      <w:bottom w:val="nil"/>
                                      <w:right w:val="nil"/>
                                    </w:tcBorders>
                                    <w:vAlign w:val="center"/>
                                    <w:hideMark/>
                                  </w:tcPr>
                                  <w:p w:rsidR="0061516A" w:rsidRDefault="0061516A">
                                    <w:pPr>
                                      <w:rPr>
                                        <w:rFonts w:eastAsia="Times New Roman"/>
                                        <w:vanish/>
                                      </w:rPr>
                                    </w:pPr>
                                  </w:p>
                                </w:tc>
                              </w:tr>
                            </w:tbl>
                            <w:p w:rsidR="0061516A" w:rsidRDefault="0061516A">
                              <w:pPr>
                                <w:rPr>
                                  <w:rFonts w:eastAsia="Times New Roman"/>
                                  <w:sz w:val="20"/>
                                  <w:szCs w:val="20"/>
                                </w:rPr>
                              </w:pPr>
                            </w:p>
                          </w:tc>
                        </w:tr>
                      </w:tbl>
                      <w:p w:rsidR="0061516A" w:rsidRDefault="0061516A">
                        <w:pPr>
                          <w:rPr>
                            <w:rFonts w:eastAsia="Times New Roman"/>
                            <w:sz w:val="20"/>
                            <w:szCs w:val="20"/>
                          </w:rPr>
                        </w:pPr>
                      </w:p>
                    </w:tc>
                  </w:tr>
                </w:tbl>
                <w:p w:rsidR="0061516A" w:rsidRDefault="0061516A">
                  <w:pPr>
                    <w:jc w:val="center"/>
                    <w:rPr>
                      <w:rFonts w:eastAsia="Times New Roman"/>
                      <w:sz w:val="20"/>
                      <w:szCs w:val="20"/>
                    </w:rPr>
                  </w:pPr>
                </w:p>
              </w:tc>
            </w:tr>
          </w:tbl>
          <w:p w:rsidR="0061516A" w:rsidRDefault="0061516A">
            <w:pPr>
              <w:jc w:val="center"/>
              <w:rPr>
                <w:rFonts w:eastAsia="Times New Roman"/>
                <w:sz w:val="20"/>
                <w:szCs w:val="20"/>
              </w:rPr>
            </w:pPr>
          </w:p>
        </w:tc>
        <w:bookmarkStart w:id="0" w:name="_GoBack"/>
        <w:bookmarkEnd w:id="0"/>
      </w:tr>
      <w:tr w:rsidR="0061516A" w:rsidTr="0061516A">
        <w:trPr>
          <w:jc w:val="center"/>
        </w:trPr>
        <w:tc>
          <w:tcPr>
            <w:tcW w:w="0" w:type="auto"/>
            <w:hideMark/>
          </w:tcPr>
          <w:tbl>
            <w:tblPr>
              <w:tblW w:w="5000" w:type="pct"/>
              <w:jc w:val="center"/>
              <w:shd w:val="clear" w:color="auto" w:fill="FAFAFA"/>
              <w:tblCellMar>
                <w:left w:w="0" w:type="dxa"/>
                <w:right w:w="0" w:type="dxa"/>
              </w:tblCellMar>
              <w:tblLook w:val="04A0" w:firstRow="1" w:lastRow="0" w:firstColumn="1" w:lastColumn="0" w:noHBand="0" w:noVBand="1"/>
            </w:tblPr>
            <w:tblGrid>
              <w:gridCol w:w="9360"/>
            </w:tblGrid>
            <w:tr w:rsidR="0061516A">
              <w:trPr>
                <w:jc w:val="center"/>
              </w:trPr>
              <w:tc>
                <w:tcPr>
                  <w:tcW w:w="0" w:type="auto"/>
                  <w:shd w:val="clear" w:color="auto" w:fill="FAFAFA"/>
                  <w:hideMark/>
                </w:tcPr>
                <w:tbl>
                  <w:tblPr>
                    <w:tblW w:w="9600" w:type="dxa"/>
                    <w:jc w:val="center"/>
                    <w:tblCellMar>
                      <w:left w:w="0" w:type="dxa"/>
                      <w:right w:w="0" w:type="dxa"/>
                    </w:tblCellMar>
                    <w:tblLook w:val="04A0" w:firstRow="1" w:lastRow="0" w:firstColumn="1" w:lastColumn="0" w:noHBand="0" w:noVBand="1"/>
                  </w:tblPr>
                  <w:tblGrid>
                    <w:gridCol w:w="9360"/>
                  </w:tblGrid>
                  <w:tr w:rsidR="0061516A">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360"/>
                        </w:tblGrid>
                        <w:tr w:rsidR="0061516A">
                          <w:tc>
                            <w:tcPr>
                              <w:tcW w:w="0" w:type="auto"/>
                              <w:hideMark/>
                            </w:tcPr>
                            <w:tbl>
                              <w:tblPr>
                                <w:tblpPr w:leftFromText="45" w:rightFromText="45" w:vertAnchor="text"/>
                                <w:tblW w:w="9600" w:type="dxa"/>
                                <w:tblCellMar>
                                  <w:left w:w="0" w:type="dxa"/>
                                  <w:right w:w="0" w:type="dxa"/>
                                </w:tblCellMar>
                                <w:tblLook w:val="04A0" w:firstRow="1" w:lastRow="0" w:firstColumn="1" w:lastColumn="0" w:noHBand="0" w:noVBand="1"/>
                              </w:tblPr>
                              <w:tblGrid>
                                <w:gridCol w:w="9600"/>
                              </w:tblGrid>
                              <w:tr w:rsidR="0061516A">
                                <w:tc>
                                  <w:tcPr>
                                    <w:tcW w:w="0" w:type="auto"/>
                                    <w:tcMar>
                                      <w:top w:w="135" w:type="dxa"/>
                                      <w:left w:w="270" w:type="dxa"/>
                                      <w:bottom w:w="135" w:type="dxa"/>
                                      <w:right w:w="270" w:type="dxa"/>
                                    </w:tcMar>
                                    <w:hideMark/>
                                  </w:tcPr>
                                  <w:p w:rsidR="0061516A" w:rsidRDefault="0061516A" w:rsidP="0061516A">
                                    <w:pPr>
                                      <w:rPr>
                                        <w:rFonts w:ascii="Arial" w:eastAsia="Times New Roman" w:hAnsi="Arial" w:cs="Arial"/>
                                        <w:color w:val="202020"/>
                                        <w:sz w:val="21"/>
                                        <w:szCs w:val="21"/>
                                      </w:rPr>
                                    </w:pPr>
                                    <w:r>
                                      <w:rPr>
                                        <w:rFonts w:ascii="Arial" w:eastAsia="Times New Roman" w:hAnsi="Arial" w:cs="Arial"/>
                                        <w:color w:val="202020"/>
                                        <w:sz w:val="18"/>
                                        <w:szCs w:val="18"/>
                                      </w:rPr>
                                      <w:t>It is hard to believe that PECA Labs was launched three years ago last month and, with the completion of our recent investment round, now is a perfect time to reflect on how far we have come. First, let me express my sincerest gratitude to our mentors and seed round investors. A special thanks goes out to the Pittsburgh-based organizations that have helped us along the way, especially Carnegie Mellon University, Innovation Works, University of Pittsburgh and UPMC. They believed in our vision, even though no startup has ever before pursued the overlooked and ignored orphan cardiac device market as the backbone of its business strategy. The standard thinking to date was that designing orphan devices was simply too idealistic of a goal to be monetarily practical. It is this exact mentality that has left not only a large market opportunity open for us to take advantage of, but also an opportunity to help tens of thousands of children and parents.</w:t>
                                    </w:r>
                                    <w:r>
                                      <w:rPr>
                                        <w:rFonts w:ascii="Arial" w:eastAsia="Times New Roman" w:hAnsi="Arial" w:cs="Arial"/>
                                        <w:color w:val="202020"/>
                                        <w:sz w:val="21"/>
                                        <w:szCs w:val="21"/>
                                      </w:rPr>
                                      <w:br/>
                                    </w:r>
                                    <w:r>
                                      <w:rPr>
                                        <w:rFonts w:ascii="Arial" w:eastAsia="Times New Roman" w:hAnsi="Arial" w:cs="Arial"/>
                                        <w:color w:val="202020"/>
                                        <w:sz w:val="18"/>
                                        <w:szCs w:val="18"/>
                                      </w:rPr>
                                      <w:t> </w:t>
                                    </w:r>
                                    <w:r>
                                      <w:rPr>
                                        <w:rFonts w:ascii="Arial" w:eastAsia="Times New Roman" w:hAnsi="Arial" w:cs="Arial"/>
                                        <w:color w:val="202020"/>
                                        <w:sz w:val="21"/>
                                        <w:szCs w:val="21"/>
                                      </w:rPr>
                                      <w:br/>
                                    </w:r>
                                    <w:r>
                                      <w:rPr>
                                        <w:rFonts w:ascii="Arial" w:eastAsia="Times New Roman" w:hAnsi="Arial" w:cs="Arial"/>
                                        <w:color w:val="202020"/>
                                        <w:sz w:val="18"/>
                                        <w:szCs w:val="18"/>
                                      </w:rPr>
                                      <w:t xml:space="preserve">We started PECA to meet this challenge head on by developing an approach </w:t>
                                    </w:r>
                                    <w:proofErr w:type="gramStart"/>
                                    <w:r>
                                      <w:rPr>
                                        <w:rFonts w:ascii="Arial" w:eastAsia="Times New Roman" w:hAnsi="Arial" w:cs="Arial"/>
                                        <w:color w:val="202020"/>
                                        <w:sz w:val="18"/>
                                        <w:szCs w:val="18"/>
                                      </w:rPr>
                                      <w:t>to</w:t>
                                    </w:r>
                                    <w:proofErr w:type="gramEnd"/>
                                    <w:r>
                                      <w:rPr>
                                        <w:rFonts w:ascii="Arial" w:eastAsia="Times New Roman" w:hAnsi="Arial" w:cs="Arial"/>
                                        <w:color w:val="202020"/>
                                        <w:sz w:val="18"/>
                                        <w:szCs w:val="18"/>
                                      </w:rPr>
                                      <w:t xml:space="preserve"> leanly and profitably bring orphan devices to market. PECA’s strategy of translating vetted and researched medical concepts into devices in an efficient manner has built a bevy of supporters, from doctors to industry professionals and beyond. This support clearly shows that PECA’s target of saving the lives of children that have been ignored by the industry is an increasingly resonant and salient one. PECA was not created to just be a company, but to accomplish a social mission while bringing strong profit to investors. It is this mantra that has not only brought PECA Labs to its third anniversary, but also to</w:t>
                                    </w:r>
                                    <w:r>
                                      <w:rPr>
                                        <w:rStyle w:val="Strong"/>
                                        <w:rFonts w:ascii="Arial" w:eastAsia="Times New Roman" w:hAnsi="Arial" w:cs="Arial"/>
                                        <w:color w:val="202020"/>
                                        <w:sz w:val="18"/>
                                        <w:szCs w:val="18"/>
                                      </w:rPr>
                                      <w:t xml:space="preserve"> the completion of a $2.8 Million Series </w:t>
                                    </w:r>
                                    <w:proofErr w:type="gramStart"/>
                                    <w:r>
                                      <w:rPr>
                                        <w:rStyle w:val="Strong"/>
                                        <w:rFonts w:ascii="Arial" w:eastAsia="Times New Roman" w:hAnsi="Arial" w:cs="Arial"/>
                                        <w:color w:val="202020"/>
                                        <w:sz w:val="18"/>
                                        <w:szCs w:val="18"/>
                                      </w:rPr>
                                      <w:t>A</w:t>
                                    </w:r>
                                    <w:proofErr w:type="gramEnd"/>
                                    <w:r>
                                      <w:rPr>
                                        <w:rStyle w:val="Strong"/>
                                        <w:rFonts w:ascii="Arial" w:eastAsia="Times New Roman" w:hAnsi="Arial" w:cs="Arial"/>
                                        <w:color w:val="202020"/>
                                        <w:sz w:val="18"/>
                                        <w:szCs w:val="18"/>
                                      </w:rPr>
                                      <w:t xml:space="preserve"> investment round, including the conversion of outstanding promissory notes</w:t>
                                    </w:r>
                                    <w:r>
                                      <w:rPr>
                                        <w:rFonts w:ascii="Arial" w:eastAsia="Times New Roman" w:hAnsi="Arial" w:cs="Arial"/>
                                        <w:color w:val="202020"/>
                                        <w:sz w:val="18"/>
                                        <w:szCs w:val="18"/>
                                      </w:rPr>
                                      <w:t>.</w:t>
                                    </w:r>
                                    <w:r>
                                      <w:rPr>
                                        <w:rFonts w:ascii="Arial" w:eastAsia="Times New Roman" w:hAnsi="Arial" w:cs="Arial"/>
                                        <w:color w:val="202020"/>
                                        <w:sz w:val="21"/>
                                        <w:szCs w:val="21"/>
                                      </w:rPr>
                                      <w:br/>
                                    </w:r>
                                    <w:r>
                                      <w:rPr>
                                        <w:rFonts w:ascii="Arial" w:eastAsia="Times New Roman" w:hAnsi="Arial" w:cs="Arial"/>
                                        <w:color w:val="202020"/>
                                        <w:sz w:val="18"/>
                                        <w:szCs w:val="18"/>
                                      </w:rPr>
                                      <w:t> </w:t>
                                    </w:r>
                                    <w:r>
                                      <w:rPr>
                                        <w:rFonts w:ascii="Arial" w:eastAsia="Times New Roman" w:hAnsi="Arial" w:cs="Arial"/>
                                        <w:color w:val="202020"/>
                                        <w:sz w:val="21"/>
                                        <w:szCs w:val="21"/>
                                      </w:rPr>
                                      <w:br/>
                                    </w:r>
                                    <w:r>
                                      <w:rPr>
                                        <w:rFonts w:ascii="Arial" w:eastAsia="Times New Roman" w:hAnsi="Arial" w:cs="Arial"/>
                                        <w:color w:val="202020"/>
                                        <w:sz w:val="18"/>
                                        <w:szCs w:val="18"/>
                                      </w:rPr>
                                      <w:t xml:space="preserve">Leading the round was Pittsburgh’s own </w:t>
                                    </w:r>
                                    <w:proofErr w:type="spellStart"/>
                                    <w:r>
                                      <w:rPr>
                                        <w:rFonts w:ascii="Arial" w:eastAsia="Times New Roman" w:hAnsi="Arial" w:cs="Arial"/>
                                        <w:color w:val="202020"/>
                                        <w:sz w:val="18"/>
                                        <w:szCs w:val="18"/>
                                      </w:rPr>
                                      <w:t>BlueTree</w:t>
                                    </w:r>
                                    <w:proofErr w:type="spellEnd"/>
                                    <w:r>
                                      <w:rPr>
                                        <w:rFonts w:ascii="Arial" w:eastAsia="Times New Roman" w:hAnsi="Arial" w:cs="Arial"/>
                                        <w:color w:val="202020"/>
                                        <w:sz w:val="18"/>
                                        <w:szCs w:val="18"/>
                                      </w:rPr>
                                      <w:t xml:space="preserve"> Allied Angels. </w:t>
                                    </w:r>
                                    <w:proofErr w:type="spellStart"/>
                                    <w:r>
                                      <w:rPr>
                                        <w:rFonts w:ascii="Arial" w:eastAsia="Times New Roman" w:hAnsi="Arial" w:cs="Arial"/>
                                        <w:color w:val="202020"/>
                                        <w:sz w:val="18"/>
                                        <w:szCs w:val="18"/>
                                      </w:rPr>
                                      <w:t>Bluetree</w:t>
                                    </w:r>
                                    <w:proofErr w:type="spellEnd"/>
                                    <w:r>
                                      <w:rPr>
                                        <w:rFonts w:ascii="Arial" w:eastAsia="Times New Roman" w:hAnsi="Arial" w:cs="Arial"/>
                                        <w:color w:val="202020"/>
                                        <w:sz w:val="18"/>
                                        <w:szCs w:val="18"/>
                                      </w:rPr>
                                      <w:t xml:space="preserve"> was founded in 2003 and since then has invested tens of millions of dollars into 40-plus companies both regionally and globally. They are no strangers to the medical space, with numerous investments into pharma and clinical technologies. Their experience and professionalism are a welcome addition to our team of supporters and will offer a boon to our work.</w:t>
                                    </w:r>
                                    <w:r>
                                      <w:rPr>
                                        <w:rFonts w:ascii="Arial" w:eastAsia="Times New Roman" w:hAnsi="Arial" w:cs="Arial"/>
                                        <w:color w:val="202020"/>
                                        <w:sz w:val="21"/>
                                        <w:szCs w:val="21"/>
                                      </w:rPr>
                                      <w:br/>
                                    </w:r>
                                    <w:r>
                                      <w:rPr>
                                        <w:rFonts w:ascii="Arial" w:eastAsia="Times New Roman" w:hAnsi="Arial" w:cs="Arial"/>
                                        <w:color w:val="202020"/>
                                        <w:sz w:val="18"/>
                                        <w:szCs w:val="18"/>
                                      </w:rPr>
                                      <w:t>   </w:t>
                                    </w:r>
                                    <w:r>
                                      <w:rPr>
                                        <w:rFonts w:ascii="Arial" w:eastAsia="Times New Roman" w:hAnsi="Arial" w:cs="Arial"/>
                                        <w:color w:val="202020"/>
                                        <w:sz w:val="21"/>
                                        <w:szCs w:val="21"/>
                                      </w:rPr>
                                      <w:br/>
                                    </w:r>
                                    <w:r>
                                      <w:rPr>
                                        <w:rFonts w:ascii="Arial" w:eastAsia="Times New Roman" w:hAnsi="Arial" w:cs="Arial"/>
                                        <w:color w:val="202020"/>
                                        <w:sz w:val="18"/>
                                        <w:szCs w:val="18"/>
                                      </w:rPr>
                                      <w:t>From the onset, we have aimed to prove that not only can PECA be sustainable by producing devices for the most desperate, but also that we can be profitable in order to inspire others to do the same. Over these past years that vision has become more and more concrete, and we welcome the opportunity to reach our goals hand-</w:t>
                                    </w:r>
                                    <w:r>
                                      <w:rPr>
                                        <w:rFonts w:ascii="Arial" w:eastAsia="Times New Roman" w:hAnsi="Arial" w:cs="Arial"/>
                                        <w:color w:val="202020"/>
                                        <w:sz w:val="18"/>
                                        <w:szCs w:val="18"/>
                                      </w:rPr>
                                      <w:lastRenderedPageBreak/>
                                      <w:t>in-hand with our long-time supporters and new investors alike.  </w:t>
                                    </w:r>
                                    <w:r>
                                      <w:rPr>
                                        <w:rFonts w:ascii="Arial" w:eastAsia="Times New Roman" w:hAnsi="Arial" w:cs="Arial"/>
                                        <w:color w:val="202020"/>
                                        <w:sz w:val="21"/>
                                        <w:szCs w:val="21"/>
                                      </w:rPr>
                                      <w:br/>
                                    </w:r>
                                    <w:r>
                                      <w:rPr>
                                        <w:rFonts w:ascii="Arial" w:eastAsia="Times New Roman" w:hAnsi="Arial" w:cs="Arial"/>
                                        <w:color w:val="202020"/>
                                        <w:sz w:val="18"/>
                                        <w:szCs w:val="18"/>
                                      </w:rPr>
                                      <w:t> </w:t>
                                    </w:r>
                                    <w:r>
                                      <w:rPr>
                                        <w:rFonts w:ascii="Arial" w:eastAsia="Times New Roman" w:hAnsi="Arial" w:cs="Arial"/>
                                        <w:color w:val="202020"/>
                                        <w:sz w:val="21"/>
                                        <w:szCs w:val="21"/>
                                      </w:rPr>
                                      <w:br/>
                                    </w:r>
                                    <w:r>
                                      <w:rPr>
                                        <w:rStyle w:val="Emphasis"/>
                                        <w:rFonts w:ascii="Arial" w:eastAsia="Times New Roman" w:hAnsi="Arial" w:cs="Arial"/>
                                        <w:b/>
                                        <w:bCs/>
                                        <w:color w:val="4B0082"/>
                                        <w:sz w:val="20"/>
                                        <w:szCs w:val="20"/>
                                      </w:rPr>
                                      <w:t>As always, we at PECA Labs are grateful for your support and interest and we look forward to bringing you more exciting updates in the near future.</w:t>
                                    </w:r>
                                    <w:r>
                                      <w:rPr>
                                        <w:rFonts w:ascii="Arial" w:eastAsia="Times New Roman" w:hAnsi="Arial" w:cs="Arial"/>
                                        <w:color w:val="202020"/>
                                        <w:sz w:val="21"/>
                                        <w:szCs w:val="21"/>
                                      </w:rPr>
                                      <w:br/>
                                    </w:r>
                                    <w:r>
                                      <w:rPr>
                                        <w:rFonts w:ascii="Arial" w:eastAsia="Times New Roman" w:hAnsi="Arial" w:cs="Arial"/>
                                        <w:color w:val="202020"/>
                                        <w:sz w:val="18"/>
                                        <w:szCs w:val="18"/>
                                      </w:rPr>
                                      <w:t> </w:t>
                                    </w:r>
                                    <w:r>
                                      <w:rPr>
                                        <w:rFonts w:ascii="Arial" w:eastAsia="Times New Roman" w:hAnsi="Arial" w:cs="Arial"/>
                                        <w:color w:val="202020"/>
                                        <w:sz w:val="21"/>
                                        <w:szCs w:val="21"/>
                                      </w:rPr>
                                      <w:br/>
                                    </w:r>
                                    <w:r>
                                      <w:rPr>
                                        <w:rFonts w:ascii="Arial" w:eastAsia="Times New Roman" w:hAnsi="Arial" w:cs="Arial"/>
                                        <w:color w:val="202020"/>
                                        <w:sz w:val="21"/>
                                        <w:szCs w:val="21"/>
                                      </w:rPr>
                                      <w:br/>
                                    </w:r>
                                    <w:r>
                                      <w:rPr>
                                        <w:rFonts w:ascii="Arial" w:eastAsia="Times New Roman" w:hAnsi="Arial" w:cs="Arial"/>
                                        <w:color w:val="202020"/>
                                        <w:sz w:val="21"/>
                                        <w:szCs w:val="21"/>
                                      </w:rPr>
                                      <w:br/>
                                      <w:t xml:space="preserve">  </w:t>
                                    </w:r>
                                  </w:p>
                                </w:tc>
                              </w:tr>
                            </w:tbl>
                            <w:p w:rsidR="0061516A" w:rsidRDefault="0061516A">
                              <w:pPr>
                                <w:rPr>
                                  <w:rFonts w:eastAsia="Times New Roman"/>
                                  <w:sz w:val="20"/>
                                  <w:szCs w:val="20"/>
                                </w:rPr>
                              </w:pPr>
                            </w:p>
                          </w:tc>
                        </w:tr>
                      </w:tbl>
                      <w:p w:rsidR="0061516A" w:rsidRDefault="0061516A">
                        <w:pPr>
                          <w:rPr>
                            <w:rFonts w:eastAsia="Times New Roman"/>
                            <w:sz w:val="20"/>
                            <w:szCs w:val="20"/>
                          </w:rPr>
                        </w:pPr>
                      </w:p>
                    </w:tc>
                  </w:tr>
                </w:tbl>
                <w:p w:rsidR="0061516A" w:rsidRDefault="0061516A">
                  <w:pPr>
                    <w:jc w:val="center"/>
                    <w:rPr>
                      <w:rFonts w:eastAsia="Times New Roman"/>
                      <w:sz w:val="20"/>
                      <w:szCs w:val="20"/>
                    </w:rPr>
                  </w:pPr>
                </w:p>
              </w:tc>
            </w:tr>
          </w:tbl>
          <w:p w:rsidR="0061516A" w:rsidRDefault="0061516A">
            <w:pPr>
              <w:jc w:val="center"/>
              <w:rPr>
                <w:rFonts w:eastAsia="Times New Roman"/>
                <w:sz w:val="20"/>
                <w:szCs w:val="20"/>
              </w:rPr>
            </w:pPr>
          </w:p>
        </w:tc>
      </w:tr>
    </w:tbl>
    <w:p w:rsidR="00F9691C" w:rsidRDefault="00F9691C"/>
    <w:sectPr w:rsidR="00F96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16A"/>
    <w:rsid w:val="0061516A"/>
    <w:rsid w:val="00F9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F7E8BB-5952-4EAB-AC40-A10B1E8B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16A"/>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61516A"/>
    <w:pPr>
      <w:spacing w:line="300" w:lineRule="auto"/>
      <w:jc w:val="center"/>
      <w:outlineLvl w:val="0"/>
    </w:pPr>
    <w:rPr>
      <w:rFonts w:ascii="Helvetica" w:hAnsi="Helvetica" w:cs="Helvetica"/>
      <w:color w:val="202020"/>
      <w:spacing w:val="-15"/>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16A"/>
    <w:rPr>
      <w:rFonts w:ascii="Helvetica" w:hAnsi="Helvetica" w:cs="Helvetica"/>
      <w:color w:val="202020"/>
      <w:spacing w:val="-15"/>
      <w:kern w:val="36"/>
      <w:sz w:val="48"/>
      <w:szCs w:val="48"/>
    </w:rPr>
  </w:style>
  <w:style w:type="character" w:styleId="Emphasis">
    <w:name w:val="Emphasis"/>
    <w:basedOn w:val="DefaultParagraphFont"/>
    <w:uiPriority w:val="20"/>
    <w:qFormat/>
    <w:rsid w:val="0061516A"/>
    <w:rPr>
      <w:i/>
      <w:iCs/>
    </w:rPr>
  </w:style>
  <w:style w:type="character" w:styleId="Strong">
    <w:name w:val="Strong"/>
    <w:basedOn w:val="DefaultParagraphFont"/>
    <w:uiPriority w:val="22"/>
    <w:qFormat/>
    <w:rsid w:val="0061516A"/>
    <w:rPr>
      <w:b/>
      <w:bCs/>
    </w:rPr>
  </w:style>
  <w:style w:type="character" w:styleId="Hyperlink">
    <w:name w:val="Hyperlink"/>
    <w:basedOn w:val="DefaultParagraphFont"/>
    <w:uiPriority w:val="99"/>
    <w:semiHidden/>
    <w:unhideWhenUsed/>
    <w:rsid w:val="00615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15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Ford</dc:creator>
  <cp:keywords/>
  <dc:description/>
  <cp:lastModifiedBy>Sonya Ford</cp:lastModifiedBy>
  <cp:revision>1</cp:revision>
  <dcterms:created xsi:type="dcterms:W3CDTF">2015-07-31T13:51:00Z</dcterms:created>
  <dcterms:modified xsi:type="dcterms:W3CDTF">2015-07-31T13:53:00Z</dcterms:modified>
</cp:coreProperties>
</file>